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70E" w:rsidRDefault="00054A14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</w:t>
      </w:r>
    </w:p>
    <w:tbl>
      <w:tblPr>
        <w:tblW w:w="16202" w:type="dxa"/>
        <w:tblInd w:w="-6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722"/>
        <w:gridCol w:w="992"/>
        <w:gridCol w:w="851"/>
        <w:gridCol w:w="1701"/>
        <w:gridCol w:w="1984"/>
        <w:gridCol w:w="1983"/>
        <w:gridCol w:w="1136"/>
        <w:gridCol w:w="564"/>
        <w:gridCol w:w="1277"/>
        <w:gridCol w:w="1844"/>
        <w:gridCol w:w="1276"/>
      </w:tblGrid>
      <w:tr w:rsidR="00D7170E">
        <w:trPr>
          <w:trHeight w:val="298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Авиакомпания</w:t>
            </w:r>
          </w:p>
        </w:tc>
        <w:tc>
          <w:tcPr>
            <w:tcW w:w="14330" w:type="dxa"/>
            <w:gridSpan w:val="11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КРИТЕРИИ ДЛЯ ГОЛОСОВАНИЯ ПО ДОПУСКУ ПЕРЕВОЗЧИКОВ К ВЫПОЛНЕНИЮ МЕЖДУНАРОДНЫХ РЕГУЛЯРНЫХ ПЕРЕВОЗОК ПАССАЖИРОВ И (ИЛИ) ГРУЗОВ ПО МАРШРУТУ САМАРА-ТАШКЕНТ</w:t>
            </w:r>
          </w:p>
        </w:tc>
      </w:tr>
      <w:tr w:rsidR="00D7170E" w:rsidTr="00F82EF1">
        <w:trPr>
          <w:trHeight w:val="20"/>
        </w:trPr>
        <w:tc>
          <w:tcPr>
            <w:tcW w:w="1872" w:type="dxa"/>
            <w:vMerge/>
            <w:shd w:val="clear" w:color="auto" w:fill="auto"/>
            <w:vAlign w:val="center"/>
          </w:tcPr>
          <w:p w:rsidR="00D7170E" w:rsidRDefault="00D7170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  <w:vMerge w:val="restart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 1</w:t>
            </w:r>
          </w:p>
        </w:tc>
        <w:tc>
          <w:tcPr>
            <w:tcW w:w="992" w:type="dxa"/>
            <w:vMerge w:val="restart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851" w:type="dxa"/>
            <w:vMerge w:val="restart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5668" w:type="dxa"/>
            <w:gridSpan w:val="3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1136" w:type="dxa"/>
            <w:vMerge w:val="restart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</w:p>
        </w:tc>
        <w:tc>
          <w:tcPr>
            <w:tcW w:w="564" w:type="dxa"/>
            <w:vMerge w:val="restart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6</w:t>
            </w:r>
          </w:p>
        </w:tc>
        <w:tc>
          <w:tcPr>
            <w:tcW w:w="4397" w:type="dxa"/>
            <w:gridSpan w:val="3"/>
            <w:vMerge w:val="restart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</w:p>
        </w:tc>
      </w:tr>
      <w:tr w:rsidR="00D7170E" w:rsidTr="00F82EF1">
        <w:trPr>
          <w:trHeight w:val="126"/>
        </w:trPr>
        <w:tc>
          <w:tcPr>
            <w:tcW w:w="1872" w:type="dxa"/>
            <w:vMerge/>
            <w:shd w:val="clear" w:color="auto" w:fill="auto"/>
            <w:vAlign w:val="center"/>
          </w:tcPr>
          <w:p w:rsidR="00D7170E" w:rsidRDefault="00D7170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:rsidR="00D7170E" w:rsidRDefault="00D7170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170E" w:rsidRDefault="00D717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D7170E" w:rsidRDefault="00D717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предписания инспекторов </w:t>
            </w:r>
          </w:p>
        </w:tc>
        <w:tc>
          <w:tcPr>
            <w:tcW w:w="1983" w:type="dxa"/>
            <w:vMerge w:val="restart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4.3 </w:t>
            </w:r>
          </w:p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Коэффициент (</w:t>
            </w: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Ratio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) по результатам проверок по программе </w:t>
            </w:r>
            <w:r>
              <w:rPr>
                <w:rFonts w:ascii="Times New Roman" w:eastAsia="Times New Roman" w:hAnsi="Times New Roman"/>
                <w:sz w:val="28"/>
                <w:szCs w:val="20"/>
                <w:lang w:val="en-US"/>
              </w:rPr>
              <w:t>SAFA</w:t>
            </w:r>
          </w:p>
          <w:p w:rsidR="00D7170E" w:rsidRDefault="00054A14">
            <w:pPr>
              <w:spacing w:after="0" w:line="240" w:lineRule="auto"/>
              <w:ind w:left="-108" w:right="-33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 состоянию на 11.11.2022</w:t>
            </w:r>
          </w:p>
        </w:tc>
        <w:tc>
          <w:tcPr>
            <w:tcW w:w="1136" w:type="dxa"/>
            <w:vMerge/>
            <w:shd w:val="clear" w:color="auto" w:fill="auto"/>
            <w:vAlign w:val="center"/>
          </w:tcPr>
          <w:p w:rsidR="00D7170E" w:rsidRDefault="00D7170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vMerge/>
            <w:shd w:val="clear" w:color="auto" w:fill="auto"/>
            <w:vAlign w:val="center"/>
          </w:tcPr>
          <w:p w:rsidR="00D7170E" w:rsidRDefault="00D7170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397" w:type="dxa"/>
            <w:gridSpan w:val="3"/>
            <w:vMerge/>
            <w:shd w:val="clear" w:color="auto" w:fill="auto"/>
            <w:vAlign w:val="center"/>
          </w:tcPr>
          <w:p w:rsidR="00D7170E" w:rsidRDefault="00D7170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7170E" w:rsidTr="00F82EF1">
        <w:trPr>
          <w:trHeight w:val="1944"/>
        </w:trPr>
        <w:tc>
          <w:tcPr>
            <w:tcW w:w="1872" w:type="dxa"/>
            <w:vMerge/>
            <w:shd w:val="clear" w:color="auto" w:fill="auto"/>
            <w:vAlign w:val="center"/>
          </w:tcPr>
          <w:p w:rsidR="00D7170E" w:rsidRDefault="00D7170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:rsidR="00D7170E" w:rsidRDefault="00D7170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170E" w:rsidRDefault="00D717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D7170E" w:rsidRDefault="00D717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4.1</w:t>
            </w:r>
          </w:p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0"/>
              </w:rPr>
              <w:t>Ространснадзор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по состоянию на 11.11.2022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4.2</w:t>
            </w:r>
          </w:p>
          <w:p w:rsidR="00D7170E" w:rsidRDefault="00054A1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Иностранные авиационные власти по состоянию на 11.11.2022</w:t>
            </w:r>
          </w:p>
          <w:p w:rsidR="00D7170E" w:rsidRDefault="00D7170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983" w:type="dxa"/>
            <w:vMerge/>
            <w:shd w:val="clear" w:color="auto" w:fill="auto"/>
            <w:vAlign w:val="center"/>
          </w:tcPr>
          <w:p w:rsidR="00D7170E" w:rsidRDefault="00D7170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auto"/>
            <w:vAlign w:val="center"/>
          </w:tcPr>
          <w:p w:rsidR="00D7170E" w:rsidRDefault="00D7170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vMerge/>
            <w:shd w:val="clear" w:color="auto" w:fill="auto"/>
            <w:vAlign w:val="center"/>
          </w:tcPr>
          <w:p w:rsidR="00D7170E" w:rsidRDefault="00D717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7.1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7.2</w:t>
            </w:r>
          </w:p>
        </w:tc>
        <w:tc>
          <w:tcPr>
            <w:tcW w:w="1276" w:type="dxa"/>
            <w:vAlign w:val="center"/>
          </w:tcPr>
          <w:p w:rsidR="00D7170E" w:rsidRDefault="00054A14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7.3.</w:t>
            </w:r>
          </w:p>
        </w:tc>
      </w:tr>
      <w:tr w:rsidR="00D7170E" w:rsidTr="00F82EF1">
        <w:trPr>
          <w:trHeight w:val="701"/>
        </w:trPr>
        <w:tc>
          <w:tcPr>
            <w:tcW w:w="1872" w:type="dxa"/>
            <w:shd w:val="clear" w:color="auto" w:fill="FFFFFF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ИрАэро</w:t>
            </w:r>
          </w:p>
        </w:tc>
        <w:tc>
          <w:tcPr>
            <w:tcW w:w="722" w:type="dxa"/>
            <w:shd w:val="clear" w:color="auto" w:fill="auto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Нет</w:t>
            </w:r>
          </w:p>
        </w:tc>
        <w:tc>
          <w:tcPr>
            <w:tcW w:w="992" w:type="dxa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86%</w:t>
            </w:r>
          </w:p>
        </w:tc>
        <w:tc>
          <w:tcPr>
            <w:tcW w:w="851" w:type="dxa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42%</w:t>
            </w:r>
          </w:p>
        </w:tc>
        <w:tc>
          <w:tcPr>
            <w:tcW w:w="1701" w:type="dxa"/>
            <w:shd w:val="clear" w:color="auto" w:fill="auto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4" w:type="dxa"/>
            <w:shd w:val="clear" w:color="auto" w:fill="auto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D7170E" w:rsidRPr="00F82EF1" w:rsidRDefault="00F82EF1">
            <w:pPr>
              <w:jc w:val="center"/>
              <w:rPr>
                <w:rFonts w:eastAsia="times" w:cs="times"/>
              </w:rPr>
            </w:pPr>
            <w:r>
              <w:rPr>
                <w:rFonts w:ascii="times" w:eastAsia="times" w:hAnsi="times" w:cs="times"/>
                <w:sz w:val="28"/>
              </w:rPr>
              <w:t>0,25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D7170E" w:rsidRPr="00F82EF1" w:rsidRDefault="00054A14">
            <w:pPr>
              <w:jc w:val="center"/>
              <w:rPr>
                <w:rFonts w:eastAsia="times" w:cs="times"/>
              </w:rPr>
            </w:pPr>
            <w:r>
              <w:rPr>
                <w:rFonts w:ascii="times" w:eastAsia="times" w:hAnsi="times" w:cs="times"/>
                <w:sz w:val="28"/>
              </w:rPr>
              <w:t>95,98</w:t>
            </w:r>
            <w:r w:rsidR="00F82EF1">
              <w:rPr>
                <w:rFonts w:eastAsia="times" w:cs="times"/>
                <w:sz w:val="28"/>
              </w:rPr>
              <w:t>%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-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 xml:space="preserve">5 </w:t>
            </w:r>
            <w:proofErr w:type="gramStart"/>
            <w:r>
              <w:rPr>
                <w:rFonts w:ascii="times" w:eastAsia="times" w:hAnsi="times" w:cs="times"/>
                <w:sz w:val="28"/>
              </w:rPr>
              <w:t>р</w:t>
            </w:r>
            <w:proofErr w:type="gramEnd"/>
            <w:r>
              <w:rPr>
                <w:rFonts w:ascii="times" w:eastAsia="times" w:hAnsi="times" w:cs="times"/>
                <w:sz w:val="28"/>
              </w:rPr>
              <w:t>/н</w:t>
            </w:r>
          </w:p>
        </w:tc>
        <w:tc>
          <w:tcPr>
            <w:tcW w:w="1844" w:type="dxa"/>
            <w:shd w:val="clear" w:color="auto" w:fill="auto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Самара</w:t>
            </w:r>
          </w:p>
        </w:tc>
        <w:tc>
          <w:tcPr>
            <w:tcW w:w="1276" w:type="dxa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2</w:t>
            </w:r>
          </w:p>
        </w:tc>
      </w:tr>
      <w:tr w:rsidR="00D7170E" w:rsidTr="00F82EF1">
        <w:trPr>
          <w:trHeight w:val="701"/>
        </w:trPr>
        <w:tc>
          <w:tcPr>
            <w:tcW w:w="1872" w:type="dxa"/>
            <w:shd w:val="clear" w:color="FFFFFF" w:fill="FFFFFF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Ред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 xml:space="preserve"> Вингс</w:t>
            </w:r>
          </w:p>
        </w:tc>
        <w:tc>
          <w:tcPr>
            <w:tcW w:w="722" w:type="dxa"/>
            <w:shd w:val="clear" w:color="FFFFFF" w:fill="FFFFFF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Нет</w:t>
            </w:r>
          </w:p>
        </w:tc>
        <w:tc>
          <w:tcPr>
            <w:tcW w:w="992" w:type="dxa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89%</w:t>
            </w:r>
          </w:p>
        </w:tc>
        <w:tc>
          <w:tcPr>
            <w:tcW w:w="851" w:type="dxa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0%</w:t>
            </w:r>
          </w:p>
        </w:tc>
        <w:tc>
          <w:tcPr>
            <w:tcW w:w="1701" w:type="dxa"/>
            <w:shd w:val="clear" w:color="FFFFFF" w:fill="FFFFFF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4" w:type="dxa"/>
            <w:shd w:val="clear" w:color="FFFFFF" w:fill="FFFFFF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3" w:type="dxa"/>
            <w:shd w:val="clear" w:color="FFFFFF" w:fill="FFFFFF"/>
            <w:vAlign w:val="center"/>
          </w:tcPr>
          <w:p w:rsidR="00D7170E" w:rsidRPr="00F82EF1" w:rsidRDefault="00F82EF1">
            <w:pPr>
              <w:jc w:val="center"/>
              <w:rPr>
                <w:rFonts w:eastAsia="times" w:cs="times"/>
              </w:rPr>
            </w:pPr>
            <w:r>
              <w:rPr>
                <w:rFonts w:ascii="times" w:eastAsia="times" w:hAnsi="times" w:cs="times"/>
                <w:sz w:val="28"/>
              </w:rPr>
              <w:t>0,92</w:t>
            </w:r>
          </w:p>
        </w:tc>
        <w:tc>
          <w:tcPr>
            <w:tcW w:w="1136" w:type="dxa"/>
            <w:shd w:val="clear" w:color="FFFFFF" w:fill="FFFFFF"/>
            <w:vAlign w:val="center"/>
          </w:tcPr>
          <w:p w:rsidR="00D7170E" w:rsidRPr="00F82EF1" w:rsidRDefault="00054A14">
            <w:pPr>
              <w:jc w:val="center"/>
              <w:rPr>
                <w:rFonts w:eastAsia="times" w:cs="times"/>
              </w:rPr>
            </w:pPr>
            <w:r>
              <w:rPr>
                <w:rFonts w:ascii="times" w:eastAsia="times" w:hAnsi="times" w:cs="times"/>
                <w:sz w:val="28"/>
              </w:rPr>
              <w:t>95,92</w:t>
            </w:r>
            <w:r w:rsidR="00F82EF1">
              <w:rPr>
                <w:rFonts w:eastAsia="times" w:cs="times"/>
                <w:sz w:val="28"/>
              </w:rPr>
              <w:t>%</w:t>
            </w:r>
          </w:p>
        </w:tc>
        <w:tc>
          <w:tcPr>
            <w:tcW w:w="564" w:type="dxa"/>
            <w:shd w:val="clear" w:color="FFFFFF" w:fill="FFFFFF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-</w:t>
            </w:r>
          </w:p>
        </w:tc>
        <w:tc>
          <w:tcPr>
            <w:tcW w:w="1277" w:type="dxa"/>
            <w:shd w:val="clear" w:color="FFFFFF" w:fill="FFFFFF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 xml:space="preserve">3 </w:t>
            </w:r>
            <w:proofErr w:type="gramStart"/>
            <w:r>
              <w:rPr>
                <w:rFonts w:ascii="times" w:eastAsia="times" w:hAnsi="times" w:cs="times"/>
                <w:sz w:val="28"/>
              </w:rPr>
              <w:t>р</w:t>
            </w:r>
            <w:proofErr w:type="gramEnd"/>
            <w:r>
              <w:rPr>
                <w:rFonts w:ascii="times" w:eastAsia="times" w:hAnsi="times" w:cs="times"/>
                <w:sz w:val="28"/>
              </w:rPr>
              <w:t>/н</w:t>
            </w:r>
          </w:p>
        </w:tc>
        <w:tc>
          <w:tcPr>
            <w:tcW w:w="1844" w:type="dxa"/>
            <w:shd w:val="clear" w:color="FFFFFF" w:fill="FFFFFF"/>
            <w:vAlign w:val="center"/>
          </w:tcPr>
          <w:p w:rsidR="00D7170E" w:rsidRDefault="00054A14">
            <w:pPr>
              <w:jc w:val="center"/>
            </w:pPr>
            <w:r>
              <w:rPr>
                <w:rFonts w:ascii="times" w:eastAsia="times" w:hAnsi="times" w:cs="times"/>
                <w:sz w:val="28"/>
              </w:rPr>
              <w:t>Самара</w:t>
            </w:r>
          </w:p>
        </w:tc>
        <w:tc>
          <w:tcPr>
            <w:tcW w:w="1276" w:type="dxa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2</w:t>
            </w:r>
          </w:p>
        </w:tc>
      </w:tr>
      <w:tr w:rsidR="00D7170E" w:rsidTr="00F82EF1">
        <w:trPr>
          <w:trHeight w:val="701"/>
        </w:trPr>
        <w:tc>
          <w:tcPr>
            <w:tcW w:w="1872" w:type="dxa"/>
            <w:shd w:val="clear" w:color="FFFFFF" w:fill="FFFFFF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ЮТэйр</w:t>
            </w:r>
            <w:proofErr w:type="spellEnd"/>
          </w:p>
        </w:tc>
        <w:tc>
          <w:tcPr>
            <w:tcW w:w="722" w:type="dxa"/>
            <w:shd w:val="clear" w:color="FFFFFF" w:fill="FFFFFF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Нет</w:t>
            </w:r>
          </w:p>
        </w:tc>
        <w:tc>
          <w:tcPr>
            <w:tcW w:w="992" w:type="dxa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0%</w:t>
            </w:r>
          </w:p>
        </w:tc>
        <w:tc>
          <w:tcPr>
            <w:tcW w:w="851" w:type="dxa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0%</w:t>
            </w:r>
          </w:p>
        </w:tc>
        <w:tc>
          <w:tcPr>
            <w:tcW w:w="1701" w:type="dxa"/>
            <w:shd w:val="clear" w:color="FFFFFF" w:fill="FFFFFF"/>
          </w:tcPr>
          <w:p w:rsidR="00D7170E" w:rsidRDefault="00054A14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4" w:type="dxa"/>
            <w:shd w:val="clear" w:color="FFFFFF" w:fill="FFFFFF"/>
          </w:tcPr>
          <w:p w:rsidR="00D7170E" w:rsidRDefault="00054A14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0</w:t>
            </w:r>
          </w:p>
        </w:tc>
        <w:tc>
          <w:tcPr>
            <w:tcW w:w="1983" w:type="dxa"/>
            <w:shd w:val="clear" w:color="FFFFFF" w:fill="FFFFFF"/>
            <w:vAlign w:val="center"/>
          </w:tcPr>
          <w:p w:rsidR="00D7170E" w:rsidRPr="00F82EF1" w:rsidRDefault="00F82EF1">
            <w:pPr>
              <w:jc w:val="center"/>
              <w:rPr>
                <w:rFonts w:eastAsia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0,0</w:t>
            </w:r>
          </w:p>
        </w:tc>
        <w:tc>
          <w:tcPr>
            <w:tcW w:w="1136" w:type="dxa"/>
            <w:shd w:val="clear" w:color="FFFFFF" w:fill="FFFFFF"/>
            <w:vAlign w:val="center"/>
          </w:tcPr>
          <w:p w:rsidR="00D7170E" w:rsidRPr="00F82EF1" w:rsidRDefault="00054A14">
            <w:pPr>
              <w:jc w:val="center"/>
              <w:rPr>
                <w:rFonts w:eastAsia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97,14</w:t>
            </w:r>
            <w:r w:rsidR="00F82EF1">
              <w:rPr>
                <w:rFonts w:eastAsia="times" w:cs="times"/>
                <w:sz w:val="28"/>
              </w:rPr>
              <w:t>%</w:t>
            </w:r>
          </w:p>
        </w:tc>
        <w:tc>
          <w:tcPr>
            <w:tcW w:w="564" w:type="dxa"/>
            <w:shd w:val="clear" w:color="FFFFFF" w:fill="FFFFFF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  <w:sz w:val="28"/>
              </w:rPr>
            </w:pPr>
            <w:r>
              <w:rPr>
                <w:rFonts w:ascii="times" w:eastAsia="times" w:hAnsi="times" w:cs="times"/>
                <w:sz w:val="28"/>
              </w:rPr>
              <w:t>-</w:t>
            </w:r>
          </w:p>
        </w:tc>
        <w:tc>
          <w:tcPr>
            <w:tcW w:w="1277" w:type="dxa"/>
            <w:shd w:val="clear" w:color="FFFFFF" w:fill="FFFFFF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 xml:space="preserve">5 </w:t>
            </w:r>
            <w:proofErr w:type="gramStart"/>
            <w:r>
              <w:rPr>
                <w:rFonts w:ascii="times" w:eastAsia="times" w:hAnsi="times" w:cs="times"/>
                <w:sz w:val="28"/>
              </w:rPr>
              <w:t>р</w:t>
            </w:r>
            <w:proofErr w:type="gramEnd"/>
            <w:r>
              <w:rPr>
                <w:rFonts w:ascii="times" w:eastAsia="times" w:hAnsi="times" w:cs="times"/>
                <w:sz w:val="28"/>
              </w:rPr>
              <w:t>/н</w:t>
            </w:r>
          </w:p>
        </w:tc>
        <w:tc>
          <w:tcPr>
            <w:tcW w:w="1844" w:type="dxa"/>
            <w:shd w:val="clear" w:color="FFFFFF" w:fill="FFFFFF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Самара</w:t>
            </w:r>
          </w:p>
        </w:tc>
        <w:tc>
          <w:tcPr>
            <w:tcW w:w="1276" w:type="dxa"/>
            <w:vAlign w:val="center"/>
          </w:tcPr>
          <w:p w:rsidR="00D7170E" w:rsidRDefault="00054A14">
            <w:pPr>
              <w:jc w:val="center"/>
              <w:rPr>
                <w:rFonts w:ascii="times" w:eastAsia="times" w:hAnsi="times" w:cs="times"/>
              </w:rPr>
            </w:pPr>
            <w:r>
              <w:rPr>
                <w:rFonts w:ascii="times" w:eastAsia="times" w:hAnsi="times" w:cs="times"/>
                <w:sz w:val="28"/>
              </w:rPr>
              <w:t>2</w:t>
            </w:r>
          </w:p>
        </w:tc>
      </w:tr>
    </w:tbl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  <w:bookmarkStart w:id="0" w:name="_GoBack"/>
      <w:bookmarkEnd w:id="0"/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D7170E" w:rsidRDefault="00D7170E">
      <w:pPr>
        <w:pStyle w:val="Style8"/>
        <w:widowControl/>
        <w:spacing w:line="240" w:lineRule="auto"/>
        <w:ind w:firstLine="0"/>
        <w:jc w:val="left"/>
        <w:rPr>
          <w:rStyle w:val="FontStyle17"/>
          <w:b/>
          <w:sz w:val="28"/>
          <w:szCs w:val="28"/>
        </w:rPr>
      </w:pPr>
    </w:p>
    <w:p w:rsidR="00D7170E" w:rsidRDefault="00054A14">
      <w:pPr>
        <w:pStyle w:val="Style8"/>
        <w:widowControl/>
        <w:spacing w:line="240" w:lineRule="auto"/>
        <w:ind w:firstLine="0"/>
        <w:jc w:val="left"/>
        <w:rPr>
          <w:rStyle w:val="FontStyle17"/>
          <w:b/>
          <w:sz w:val="28"/>
          <w:szCs w:val="28"/>
        </w:rPr>
      </w:pPr>
      <w:r>
        <w:rPr>
          <w:rStyle w:val="FontStyle17"/>
          <w:b/>
          <w:sz w:val="28"/>
          <w:szCs w:val="28"/>
        </w:rPr>
        <w:lastRenderedPageBreak/>
        <w:t xml:space="preserve">    </w:t>
      </w:r>
    </w:p>
    <w:p w:rsidR="00D7170E" w:rsidRDefault="00D7170E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2"/>
          <w:szCs w:val="22"/>
        </w:rPr>
      </w:pPr>
    </w:p>
    <w:p w:rsidR="00D7170E" w:rsidRDefault="00054A14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ОПИСАНИЕ КРИТЕРИЕВ:</w:t>
      </w:r>
    </w:p>
    <w:p w:rsidR="00D7170E" w:rsidRDefault="00054A14">
      <w:pPr>
        <w:pStyle w:val="Style7"/>
        <w:widowControl/>
        <w:spacing w:line="240" w:lineRule="auto"/>
        <w:ind w:right="-992"/>
        <w:jc w:val="left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1.</w:t>
      </w: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sz w:val="22"/>
          <w:szCs w:val="22"/>
        </w:rPr>
      </w:pPr>
      <w:r>
        <w:rPr>
          <w:rStyle w:val="FontStyle17"/>
          <w:sz w:val="22"/>
          <w:szCs w:val="22"/>
        </w:rPr>
        <w:t xml:space="preserve">Наличие у перевозчика сертификата </w:t>
      </w:r>
      <w:r>
        <w:rPr>
          <w:sz w:val="22"/>
          <w:szCs w:val="22"/>
        </w:rPr>
        <w:t>IOSA по аудиту эксплуатационной безопасности авиакомпаний.</w:t>
      </w: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указано наличие или отсутствие у перевозчика сертификата</w:t>
      </w:r>
      <w:r>
        <w:rPr>
          <w:b/>
          <w:sz w:val="22"/>
          <w:szCs w:val="22"/>
        </w:rPr>
        <w:t xml:space="preserve"> IOSA.</w:t>
      </w: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2.</w:t>
      </w: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Использование современных воздушных судов отечественного производства.</w:t>
      </w: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</w:t>
      </w:r>
      <w:r>
        <w:rPr>
          <w:rStyle w:val="FontStyle17"/>
          <w:b/>
          <w:sz w:val="22"/>
          <w:szCs w:val="22"/>
        </w:rPr>
        <w:t xml:space="preserve"> указан процент рейсов, выполненных на современных воздушных судах отечественного производства за месяц, предшествующий месяцу проведения заседания, к общему количеству рейсов, выполненных перевозчиком в этот период.</w:t>
      </w: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3.</w:t>
      </w: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Выполнение российскими пе</w:t>
      </w:r>
      <w:r>
        <w:rPr>
          <w:rStyle w:val="FontStyle17"/>
          <w:sz w:val="22"/>
          <w:szCs w:val="22"/>
        </w:rPr>
        <w:t>ревозчиками воздушных перевозок пассажиров внутри Дальневосточного федерального округа.</w:t>
      </w: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 процент рейсов, выполненных внутри Дальневосточного федерального округа, за месяц, предшествующий месяцу проведения заседания комиссии, к общему колич</w:t>
      </w:r>
      <w:r>
        <w:rPr>
          <w:rStyle w:val="FontStyle17"/>
          <w:b/>
          <w:sz w:val="22"/>
          <w:szCs w:val="22"/>
        </w:rPr>
        <w:t>еству внутренних рейсов, выполненных перевозчиком в этот период.</w:t>
      </w: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4.</w:t>
      </w: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 xml:space="preserve">Оценка уровня безопасности полетов и авиационной безопасности (комплексный критерий, включающий в себя инспекторские предписания и показатели </w:t>
      </w:r>
      <w:r>
        <w:rPr>
          <w:rStyle w:val="FontStyle17"/>
          <w:sz w:val="22"/>
          <w:szCs w:val="22"/>
          <w:lang w:val="en-US"/>
        </w:rPr>
        <w:t>SAFA</w:t>
      </w:r>
      <w:r>
        <w:rPr>
          <w:rStyle w:val="FontStyle17"/>
          <w:sz w:val="22"/>
          <w:szCs w:val="22"/>
        </w:rPr>
        <w:t>).</w:t>
      </w: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указано количество</w:t>
      </w:r>
      <w:r>
        <w:rPr>
          <w:rStyle w:val="FontStyle17"/>
          <w:b/>
          <w:sz w:val="22"/>
          <w:szCs w:val="22"/>
        </w:rPr>
        <w:t xml:space="preserve"> не устраненных предписаний выписанных инспекторами </w:t>
      </w:r>
      <w:proofErr w:type="spellStart"/>
      <w:r>
        <w:rPr>
          <w:rStyle w:val="FontStyle17"/>
          <w:b/>
          <w:sz w:val="22"/>
          <w:szCs w:val="22"/>
        </w:rPr>
        <w:t>Ространснадзора</w:t>
      </w:r>
      <w:proofErr w:type="spellEnd"/>
      <w:r>
        <w:rPr>
          <w:rStyle w:val="FontStyle17"/>
          <w:b/>
          <w:sz w:val="22"/>
          <w:szCs w:val="22"/>
        </w:rPr>
        <w:t xml:space="preserve"> и инспекторами  уполномоченного органа в области </w:t>
      </w:r>
      <w:proofErr w:type="gramStart"/>
      <w:r>
        <w:rPr>
          <w:rStyle w:val="FontStyle17"/>
          <w:b/>
          <w:sz w:val="22"/>
          <w:szCs w:val="22"/>
        </w:rPr>
        <w:t>контроля за</w:t>
      </w:r>
      <w:proofErr w:type="gramEnd"/>
      <w:r>
        <w:rPr>
          <w:rStyle w:val="FontStyle17"/>
          <w:b/>
          <w:sz w:val="22"/>
          <w:szCs w:val="22"/>
        </w:rPr>
        <w:t xml:space="preserve"> обеспечением безопасности полетов в гражданской авиации иностранных государств Евросоюза, а также указан коэффициент по итогам </w:t>
      </w:r>
      <w:r>
        <w:rPr>
          <w:rStyle w:val="FontStyle17"/>
          <w:b/>
          <w:sz w:val="22"/>
          <w:szCs w:val="22"/>
        </w:rPr>
        <w:t xml:space="preserve">рамповых проверок по программе </w:t>
      </w:r>
      <w:r>
        <w:rPr>
          <w:rStyle w:val="FontStyle17"/>
          <w:b/>
          <w:sz w:val="22"/>
          <w:szCs w:val="22"/>
          <w:lang w:val="en-US"/>
        </w:rPr>
        <w:t>SAFA</w:t>
      </w:r>
      <w:r>
        <w:rPr>
          <w:rStyle w:val="FontStyle17"/>
          <w:b/>
          <w:sz w:val="22"/>
          <w:szCs w:val="22"/>
        </w:rPr>
        <w:t>.</w:t>
      </w: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5.</w:t>
      </w: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Регулярность полетов.</w:t>
      </w: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 процент выполненных рейсов без задержек отправления за предшествующий месяц.</w:t>
      </w: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D7170E" w:rsidRDefault="00054A14">
      <w:pPr>
        <w:pStyle w:val="Style11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6.</w:t>
      </w: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Процент использования имеющихся коммерческих прав.</w:t>
      </w: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указано количе</w:t>
      </w:r>
      <w:r>
        <w:rPr>
          <w:rStyle w:val="FontStyle17"/>
          <w:b/>
          <w:sz w:val="22"/>
          <w:szCs w:val="22"/>
        </w:rPr>
        <w:t>ство выданных перевозчику допусков к выполнению международных регулярных перевозок пассажиров и (или) грузов (за исключением допусков выданных на последних двух комиссиях по допуску перевозчиков и в соответствии с приказами Росавиации) в процентном соотнош</w:t>
      </w:r>
      <w:r>
        <w:rPr>
          <w:rStyle w:val="FontStyle17"/>
          <w:b/>
          <w:sz w:val="22"/>
          <w:szCs w:val="22"/>
        </w:rPr>
        <w:t xml:space="preserve">ении с количеством фактически используемых перевозчиком допусков. </w:t>
      </w: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7.</w:t>
      </w:r>
    </w:p>
    <w:p w:rsidR="00D7170E" w:rsidRDefault="00054A14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  <w:r>
        <w:rPr>
          <w:rStyle w:val="FontStyle17"/>
          <w:sz w:val="22"/>
          <w:szCs w:val="22"/>
        </w:rPr>
        <w:t>Уровень сервиса, предлагаемого перевозчиком.</w:t>
      </w:r>
    </w:p>
    <w:p w:rsidR="00D7170E" w:rsidRDefault="00054A14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указана планируемая частота полетов по маршруту, аэропорт вылета/прилета, количество классов обслуживания.</w:t>
      </w:r>
    </w:p>
    <w:p w:rsidR="00D7170E" w:rsidRDefault="00D7170E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D7170E" w:rsidRDefault="00D7170E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D7170E" w:rsidRDefault="00D7170E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D7170E" w:rsidRDefault="00D7170E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D7170E" w:rsidRDefault="00D7170E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D7170E" w:rsidRDefault="00D7170E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D7170E" w:rsidRDefault="00D7170E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D7170E" w:rsidRDefault="00054A14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  <w:r>
        <w:rPr>
          <w:rStyle w:val="FontStyle17"/>
          <w:b/>
          <w:sz w:val="32"/>
          <w:szCs w:val="32"/>
        </w:rPr>
        <w:t>ОЦЕНОЧНЫЙ ЛИСТ</w:t>
      </w: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tbl>
      <w:tblPr>
        <w:tblStyle w:val="aff"/>
        <w:tblW w:w="15806" w:type="dxa"/>
        <w:tblInd w:w="-605" w:type="dxa"/>
        <w:tblLayout w:type="fixed"/>
        <w:tblLook w:val="04A0" w:firstRow="1" w:lastRow="0" w:firstColumn="1" w:lastColumn="0" w:noHBand="0" w:noVBand="1"/>
      </w:tblPr>
      <w:tblGrid>
        <w:gridCol w:w="2471"/>
        <w:gridCol w:w="4336"/>
        <w:gridCol w:w="6272"/>
        <w:gridCol w:w="2727"/>
      </w:tblGrid>
      <w:tr w:rsidR="00D7170E">
        <w:tc>
          <w:tcPr>
            <w:tcW w:w="2471" w:type="dxa"/>
            <w:shd w:val="clear" w:color="auto" w:fill="auto"/>
            <w:vAlign w:val="center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Член комиссии</w:t>
            </w:r>
          </w:p>
          <w:p w:rsidR="00D7170E" w:rsidRDefault="00054A14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 Ф.И.О.</w:t>
            </w:r>
          </w:p>
        </w:tc>
        <w:tc>
          <w:tcPr>
            <w:tcW w:w="13335" w:type="dxa"/>
            <w:gridSpan w:val="3"/>
            <w:shd w:val="clear" w:color="auto" w:fill="auto"/>
          </w:tcPr>
          <w:p w:rsidR="00D7170E" w:rsidRDefault="00D7170E">
            <w:pPr>
              <w:spacing w:after="0" w:line="240" w:lineRule="auto"/>
            </w:pPr>
          </w:p>
        </w:tc>
      </w:tr>
      <w:tr w:rsidR="00D7170E">
        <w:tc>
          <w:tcPr>
            <w:tcW w:w="2471" w:type="dxa"/>
            <w:shd w:val="clear" w:color="auto" w:fill="auto"/>
            <w:vAlign w:val="center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Маршрут</w:t>
            </w:r>
          </w:p>
        </w:tc>
        <w:tc>
          <w:tcPr>
            <w:tcW w:w="13335" w:type="dxa"/>
            <w:gridSpan w:val="3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Самара - Ташкент</w:t>
            </w:r>
          </w:p>
        </w:tc>
      </w:tr>
      <w:tr w:rsidR="00D7170E">
        <w:tc>
          <w:tcPr>
            <w:tcW w:w="2471" w:type="dxa"/>
            <w:shd w:val="clear" w:color="auto" w:fill="auto"/>
            <w:vAlign w:val="center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Раздел и пункты </w:t>
            </w:r>
          </w:p>
          <w:p w:rsidR="00D7170E" w:rsidRDefault="00054A14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материалов МВК </w:t>
            </w:r>
          </w:p>
        </w:tc>
        <w:tc>
          <w:tcPr>
            <w:tcW w:w="13335" w:type="dxa"/>
            <w:gridSpan w:val="3"/>
            <w:shd w:val="clear" w:color="auto" w:fill="auto"/>
            <w:vAlign w:val="center"/>
          </w:tcPr>
          <w:p w:rsidR="00D7170E" w:rsidRDefault="00054A14" w:rsidP="00F82EF1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Раздел 1, пункты: </w:t>
            </w:r>
            <w:r w:rsidR="00F82EF1">
              <w:rPr>
                <w:rFonts w:ascii="Times New Roman" w:eastAsia="Times New Roman" w:hAnsi="Times New Roman"/>
                <w:sz w:val="24"/>
                <w:szCs w:val="24"/>
              </w:rPr>
              <w:t>46-48</w:t>
            </w:r>
          </w:p>
        </w:tc>
      </w:tr>
      <w:tr w:rsidR="00D7170E">
        <w:trPr>
          <w:trHeight w:val="473"/>
        </w:trPr>
        <w:tc>
          <w:tcPr>
            <w:tcW w:w="2471" w:type="dxa"/>
            <w:vMerge w:val="restart"/>
            <w:shd w:val="clear" w:color="auto" w:fill="auto"/>
            <w:vAlign w:val="center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Критерии</w:t>
            </w:r>
          </w:p>
        </w:tc>
        <w:tc>
          <w:tcPr>
            <w:tcW w:w="13335" w:type="dxa"/>
            <w:gridSpan w:val="3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</w:pPr>
            <w:r>
              <w:rPr>
                <w:rStyle w:val="FontStyle17"/>
                <w:b/>
                <w:sz w:val="28"/>
                <w:szCs w:val="28"/>
              </w:rPr>
              <w:t xml:space="preserve">                                                             Наименование перевозчика</w:t>
            </w:r>
          </w:p>
        </w:tc>
      </w:tr>
      <w:tr w:rsidR="00D7170E">
        <w:trPr>
          <w:trHeight w:val="553"/>
        </w:trPr>
        <w:tc>
          <w:tcPr>
            <w:tcW w:w="2471" w:type="dxa"/>
            <w:vMerge/>
            <w:shd w:val="clear" w:color="auto" w:fill="auto"/>
            <w:vAlign w:val="center"/>
          </w:tcPr>
          <w:p w:rsidR="00D7170E" w:rsidRDefault="00D7170E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</w:p>
        </w:tc>
        <w:tc>
          <w:tcPr>
            <w:tcW w:w="4336" w:type="dxa"/>
            <w:shd w:val="clear" w:color="auto" w:fill="auto"/>
            <w:vAlign w:val="center"/>
          </w:tcPr>
          <w:p w:rsidR="00D7170E" w:rsidRDefault="00054A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ИрАэро</w:t>
            </w:r>
          </w:p>
        </w:tc>
        <w:tc>
          <w:tcPr>
            <w:tcW w:w="6272" w:type="dxa"/>
            <w:shd w:val="clear" w:color="auto" w:fill="auto"/>
          </w:tcPr>
          <w:p w:rsidR="00D7170E" w:rsidRDefault="00054A14">
            <w:pPr>
              <w:jc w:val="center"/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Ред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 xml:space="preserve"> Вингс</w:t>
            </w:r>
          </w:p>
        </w:tc>
        <w:tc>
          <w:tcPr>
            <w:tcW w:w="2727" w:type="dxa"/>
            <w:shd w:val="clear" w:color="FFFFFF" w:fill="FFFFFF"/>
          </w:tcPr>
          <w:p w:rsidR="00D7170E" w:rsidRDefault="00054A1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ЮТэйр</w:t>
            </w:r>
            <w:proofErr w:type="spellEnd"/>
          </w:p>
        </w:tc>
      </w:tr>
      <w:tr w:rsidR="00D7170E">
        <w:tc>
          <w:tcPr>
            <w:tcW w:w="2471" w:type="dxa"/>
            <w:shd w:val="clear" w:color="auto" w:fill="auto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1</w:t>
            </w:r>
          </w:p>
        </w:tc>
        <w:tc>
          <w:tcPr>
            <w:tcW w:w="4336" w:type="dxa"/>
            <w:shd w:val="clear" w:color="auto" w:fill="auto"/>
          </w:tcPr>
          <w:p w:rsidR="00D7170E" w:rsidRDefault="00D7170E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6272" w:type="dxa"/>
            <w:shd w:val="clear" w:color="auto" w:fill="auto"/>
          </w:tcPr>
          <w:p w:rsidR="00D7170E" w:rsidRDefault="00D7170E"/>
        </w:tc>
        <w:tc>
          <w:tcPr>
            <w:tcW w:w="2727" w:type="dxa"/>
            <w:shd w:val="clear" w:color="FFFFFF" w:fill="FFFFFF"/>
          </w:tcPr>
          <w:p w:rsidR="00D7170E" w:rsidRDefault="00D7170E"/>
        </w:tc>
      </w:tr>
      <w:tr w:rsidR="00D7170E">
        <w:trPr>
          <w:trHeight w:val="474"/>
        </w:trPr>
        <w:tc>
          <w:tcPr>
            <w:tcW w:w="2471" w:type="dxa"/>
            <w:shd w:val="clear" w:color="auto" w:fill="auto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2</w:t>
            </w:r>
          </w:p>
        </w:tc>
        <w:tc>
          <w:tcPr>
            <w:tcW w:w="4336" w:type="dxa"/>
            <w:shd w:val="clear" w:color="auto" w:fill="auto"/>
          </w:tcPr>
          <w:p w:rsidR="00D7170E" w:rsidRDefault="00D7170E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6272" w:type="dxa"/>
            <w:shd w:val="clear" w:color="auto" w:fill="auto"/>
          </w:tcPr>
          <w:p w:rsidR="00D7170E" w:rsidRDefault="00D7170E"/>
        </w:tc>
        <w:tc>
          <w:tcPr>
            <w:tcW w:w="2727" w:type="dxa"/>
            <w:shd w:val="clear" w:color="FFFFFF" w:fill="FFFFFF"/>
          </w:tcPr>
          <w:p w:rsidR="00D7170E" w:rsidRDefault="00D7170E"/>
        </w:tc>
      </w:tr>
      <w:tr w:rsidR="00D7170E">
        <w:tc>
          <w:tcPr>
            <w:tcW w:w="2471" w:type="dxa"/>
            <w:shd w:val="clear" w:color="auto" w:fill="auto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3</w:t>
            </w:r>
          </w:p>
        </w:tc>
        <w:tc>
          <w:tcPr>
            <w:tcW w:w="4336" w:type="dxa"/>
            <w:shd w:val="clear" w:color="auto" w:fill="auto"/>
          </w:tcPr>
          <w:p w:rsidR="00D7170E" w:rsidRDefault="00D7170E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6272" w:type="dxa"/>
            <w:shd w:val="clear" w:color="auto" w:fill="auto"/>
          </w:tcPr>
          <w:p w:rsidR="00D7170E" w:rsidRDefault="00D7170E"/>
        </w:tc>
        <w:tc>
          <w:tcPr>
            <w:tcW w:w="2727" w:type="dxa"/>
            <w:shd w:val="clear" w:color="FFFFFF" w:fill="FFFFFF"/>
          </w:tcPr>
          <w:p w:rsidR="00D7170E" w:rsidRDefault="00D7170E"/>
        </w:tc>
      </w:tr>
      <w:tr w:rsidR="00D7170E">
        <w:tc>
          <w:tcPr>
            <w:tcW w:w="2471" w:type="dxa"/>
            <w:shd w:val="clear" w:color="auto" w:fill="auto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4</w:t>
            </w:r>
          </w:p>
        </w:tc>
        <w:tc>
          <w:tcPr>
            <w:tcW w:w="4336" w:type="dxa"/>
            <w:shd w:val="clear" w:color="auto" w:fill="auto"/>
          </w:tcPr>
          <w:p w:rsidR="00D7170E" w:rsidRDefault="00D7170E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6272" w:type="dxa"/>
            <w:shd w:val="clear" w:color="auto" w:fill="auto"/>
          </w:tcPr>
          <w:p w:rsidR="00D7170E" w:rsidRDefault="00D7170E"/>
        </w:tc>
        <w:tc>
          <w:tcPr>
            <w:tcW w:w="2727" w:type="dxa"/>
            <w:shd w:val="clear" w:color="FFFFFF" w:fill="FFFFFF"/>
          </w:tcPr>
          <w:p w:rsidR="00D7170E" w:rsidRDefault="00D7170E"/>
        </w:tc>
      </w:tr>
      <w:tr w:rsidR="00D7170E">
        <w:tc>
          <w:tcPr>
            <w:tcW w:w="2471" w:type="dxa"/>
            <w:shd w:val="clear" w:color="auto" w:fill="auto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5</w:t>
            </w:r>
          </w:p>
        </w:tc>
        <w:tc>
          <w:tcPr>
            <w:tcW w:w="4336" w:type="dxa"/>
            <w:shd w:val="clear" w:color="auto" w:fill="auto"/>
          </w:tcPr>
          <w:p w:rsidR="00D7170E" w:rsidRDefault="00D7170E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6272" w:type="dxa"/>
            <w:shd w:val="clear" w:color="auto" w:fill="auto"/>
          </w:tcPr>
          <w:p w:rsidR="00D7170E" w:rsidRDefault="00D7170E"/>
        </w:tc>
        <w:tc>
          <w:tcPr>
            <w:tcW w:w="2727" w:type="dxa"/>
            <w:shd w:val="clear" w:color="FFFFFF" w:fill="FFFFFF"/>
          </w:tcPr>
          <w:p w:rsidR="00D7170E" w:rsidRDefault="00D7170E"/>
        </w:tc>
      </w:tr>
      <w:tr w:rsidR="00D7170E">
        <w:tc>
          <w:tcPr>
            <w:tcW w:w="2471" w:type="dxa"/>
            <w:shd w:val="clear" w:color="auto" w:fill="auto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6</w:t>
            </w:r>
          </w:p>
        </w:tc>
        <w:tc>
          <w:tcPr>
            <w:tcW w:w="4336" w:type="dxa"/>
            <w:shd w:val="clear" w:color="auto" w:fill="auto"/>
          </w:tcPr>
          <w:p w:rsidR="00D7170E" w:rsidRDefault="00D7170E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6272" w:type="dxa"/>
            <w:shd w:val="clear" w:color="auto" w:fill="auto"/>
          </w:tcPr>
          <w:p w:rsidR="00D7170E" w:rsidRDefault="00D7170E"/>
        </w:tc>
        <w:tc>
          <w:tcPr>
            <w:tcW w:w="2727" w:type="dxa"/>
            <w:shd w:val="clear" w:color="FFFFFF" w:fill="FFFFFF"/>
          </w:tcPr>
          <w:p w:rsidR="00D7170E" w:rsidRDefault="00D7170E"/>
        </w:tc>
      </w:tr>
      <w:tr w:rsidR="00D7170E">
        <w:trPr>
          <w:trHeight w:val="403"/>
        </w:trPr>
        <w:tc>
          <w:tcPr>
            <w:tcW w:w="2471" w:type="dxa"/>
            <w:shd w:val="clear" w:color="auto" w:fill="auto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7</w:t>
            </w:r>
          </w:p>
        </w:tc>
        <w:tc>
          <w:tcPr>
            <w:tcW w:w="4336" w:type="dxa"/>
            <w:shd w:val="clear" w:color="auto" w:fill="auto"/>
          </w:tcPr>
          <w:p w:rsidR="00D7170E" w:rsidRDefault="00D7170E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6272" w:type="dxa"/>
            <w:shd w:val="clear" w:color="auto" w:fill="auto"/>
          </w:tcPr>
          <w:p w:rsidR="00D7170E" w:rsidRDefault="00D7170E"/>
        </w:tc>
        <w:tc>
          <w:tcPr>
            <w:tcW w:w="2727" w:type="dxa"/>
            <w:shd w:val="clear" w:color="FFFFFF" w:fill="FFFFFF"/>
          </w:tcPr>
          <w:p w:rsidR="00D7170E" w:rsidRDefault="00D7170E"/>
        </w:tc>
      </w:tr>
      <w:tr w:rsidR="00D7170E">
        <w:trPr>
          <w:trHeight w:val="430"/>
        </w:trPr>
        <w:tc>
          <w:tcPr>
            <w:tcW w:w="2471" w:type="dxa"/>
            <w:shd w:val="clear" w:color="auto" w:fill="auto"/>
          </w:tcPr>
          <w:p w:rsidR="00D7170E" w:rsidRDefault="00054A14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Сумма баллов</w:t>
            </w:r>
          </w:p>
        </w:tc>
        <w:tc>
          <w:tcPr>
            <w:tcW w:w="4336" w:type="dxa"/>
            <w:shd w:val="clear" w:color="auto" w:fill="auto"/>
          </w:tcPr>
          <w:p w:rsidR="00D7170E" w:rsidRDefault="00D7170E">
            <w:pPr>
              <w:pStyle w:val="Style7"/>
              <w:widowControl/>
              <w:spacing w:line="240" w:lineRule="auto"/>
              <w:ind w:right="-992"/>
              <w:rPr>
                <w:b/>
              </w:rPr>
            </w:pPr>
          </w:p>
        </w:tc>
        <w:tc>
          <w:tcPr>
            <w:tcW w:w="6272" w:type="dxa"/>
            <w:shd w:val="clear" w:color="auto" w:fill="auto"/>
          </w:tcPr>
          <w:p w:rsidR="00D7170E" w:rsidRDefault="00D7170E"/>
        </w:tc>
        <w:tc>
          <w:tcPr>
            <w:tcW w:w="2727" w:type="dxa"/>
            <w:shd w:val="clear" w:color="FFFFFF" w:fill="FFFFFF"/>
          </w:tcPr>
          <w:p w:rsidR="00D7170E" w:rsidRDefault="00D7170E"/>
        </w:tc>
      </w:tr>
    </w:tbl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D7170E" w:rsidRDefault="00054A14">
      <w:pPr>
        <w:pStyle w:val="Style7"/>
        <w:widowControl/>
        <w:spacing w:line="240" w:lineRule="auto"/>
        <w:ind w:right="-992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«_______________________» 2022 г.                                                                                                   Подпись _____________________________</w:t>
      </w: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D7170E" w:rsidRDefault="00D7170E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D7170E" w:rsidRDefault="00D7170E">
      <w:pPr>
        <w:pStyle w:val="Style7"/>
        <w:widowControl/>
        <w:spacing w:line="240" w:lineRule="auto"/>
        <w:ind w:right="-992"/>
        <w:jc w:val="both"/>
      </w:pPr>
    </w:p>
    <w:sectPr w:rsidR="00D7170E">
      <w:pgSz w:w="16838" w:h="11906" w:orient="landscape"/>
      <w:pgMar w:top="0" w:right="2379" w:bottom="0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A14" w:rsidRDefault="00054A14">
      <w:pPr>
        <w:spacing w:after="0" w:line="240" w:lineRule="auto"/>
      </w:pPr>
      <w:r>
        <w:separator/>
      </w:r>
    </w:p>
  </w:endnote>
  <w:endnote w:type="continuationSeparator" w:id="0">
    <w:p w:rsidR="00054A14" w:rsidRDefault="0005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A14" w:rsidRDefault="00054A14">
      <w:pPr>
        <w:spacing w:after="0" w:line="240" w:lineRule="auto"/>
      </w:pPr>
      <w:r>
        <w:separator/>
      </w:r>
    </w:p>
  </w:footnote>
  <w:footnote w:type="continuationSeparator" w:id="0">
    <w:p w:rsidR="00054A14" w:rsidRDefault="00054A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70E"/>
    <w:rsid w:val="00054A14"/>
    <w:rsid w:val="00D7170E"/>
    <w:rsid w:val="00F8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17">
    <w:name w:val="Font Style17"/>
    <w:basedOn w:val="a0"/>
    <w:qFormat/>
    <w:rPr>
      <w:rFonts w:ascii="Times New Roman" w:hAnsi="Times New Roman" w:cs="Times New Roman"/>
      <w:sz w:val="16"/>
      <w:szCs w:val="16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ascii="PT Astra Serif" w:hAnsi="PT Astra Serif" w:cs="Noto Sans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7">
    <w:name w:val="Style7"/>
    <w:basedOn w:val="a"/>
    <w:qFormat/>
    <w:pPr>
      <w:widowControl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qFormat/>
    <w:pPr>
      <w:widowControl w:val="0"/>
      <w:spacing w:after="0" w:line="217" w:lineRule="exact"/>
      <w:ind w:firstLine="49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qFormat/>
    <w:pPr>
      <w:widowControl w:val="0"/>
      <w:spacing w:after="0" w:line="219" w:lineRule="exact"/>
      <w:ind w:firstLine="49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qFormat/>
    <w:pPr>
      <w:widowControl w:val="0"/>
      <w:spacing w:after="0" w:line="19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styleId="af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customStyle="1" w:styleId="FontStyle17">
    <w:name w:val="Font Style17"/>
    <w:basedOn w:val="a0"/>
    <w:qFormat/>
    <w:rPr>
      <w:rFonts w:ascii="Times New Roman" w:hAnsi="Times New Roman" w:cs="Times New Roman"/>
      <w:sz w:val="16"/>
      <w:szCs w:val="16"/>
    </w:rPr>
  </w:style>
  <w:style w:type="character" w:customStyle="1" w:styleId="af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ascii="PT Astra Serif" w:hAnsi="PT Astra Serif" w:cs="Noto Sans Devanagari"/>
    </w:rPr>
  </w:style>
  <w:style w:type="paragraph" w:styleId="af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c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7">
    <w:name w:val="Style7"/>
    <w:basedOn w:val="a"/>
    <w:qFormat/>
    <w:pPr>
      <w:widowControl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qFormat/>
    <w:pPr>
      <w:widowControl w:val="0"/>
      <w:spacing w:after="0" w:line="217" w:lineRule="exact"/>
      <w:ind w:firstLine="49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qFormat/>
    <w:pPr>
      <w:widowControl w:val="0"/>
      <w:spacing w:after="0" w:line="219" w:lineRule="exact"/>
      <w:ind w:firstLine="49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qFormat/>
    <w:pPr>
      <w:widowControl w:val="0"/>
      <w:spacing w:after="0" w:line="19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styleId="aff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Пунегов Владимир</dc:creator>
  <cp:lastModifiedBy>Голубничий Дмитрий</cp:lastModifiedBy>
  <cp:revision>2</cp:revision>
  <dcterms:created xsi:type="dcterms:W3CDTF">2022-11-17T13:58:00Z</dcterms:created>
  <dcterms:modified xsi:type="dcterms:W3CDTF">2022-11-17T13:58:00Z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